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84508" w14:textId="4408D70E" w:rsidR="00AB4817" w:rsidRDefault="00AB4817">
      <w:pPr>
        <w:rPr>
          <w:b/>
          <w:bCs/>
          <w:sz w:val="28"/>
          <w:szCs w:val="28"/>
        </w:rPr>
      </w:pPr>
      <w:r>
        <w:rPr>
          <w:noProof/>
        </w:rPr>
        <w:drawing>
          <wp:anchor distT="0" distB="0" distL="114300" distR="114300" simplePos="0" relativeHeight="251658240" behindDoc="0" locked="0" layoutInCell="1" allowOverlap="1" wp14:anchorId="6ECCB07C" wp14:editId="222F0383">
            <wp:simplePos x="0" y="0"/>
            <wp:positionH relativeFrom="margin">
              <wp:align>right</wp:align>
            </wp:positionH>
            <wp:positionV relativeFrom="paragraph">
              <wp:posOffset>561</wp:posOffset>
            </wp:positionV>
            <wp:extent cx="1807210" cy="746760"/>
            <wp:effectExtent l="0" t="0" r="254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21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11B3A" w14:textId="771BBCF6" w:rsidR="00AB4817" w:rsidRDefault="00AB4817">
      <w:pPr>
        <w:rPr>
          <w:b/>
          <w:bCs/>
          <w:sz w:val="28"/>
          <w:szCs w:val="28"/>
        </w:rPr>
      </w:pPr>
    </w:p>
    <w:p w14:paraId="53AFC8E9" w14:textId="062E94A3" w:rsidR="00204781" w:rsidRDefault="00B5670E">
      <w:pPr>
        <w:rPr>
          <w:b/>
          <w:bCs/>
          <w:sz w:val="28"/>
          <w:szCs w:val="28"/>
        </w:rPr>
      </w:pPr>
      <w:r w:rsidRPr="00B5670E">
        <w:rPr>
          <w:b/>
          <w:bCs/>
          <w:sz w:val="28"/>
          <w:szCs w:val="28"/>
        </w:rPr>
        <w:t>Opfølgningsnotat</w:t>
      </w:r>
      <w:r>
        <w:rPr>
          <w:b/>
          <w:bCs/>
          <w:sz w:val="28"/>
          <w:szCs w:val="28"/>
        </w:rPr>
        <w:t xml:space="preserve"> </w:t>
      </w:r>
      <w:r w:rsidR="00204781">
        <w:rPr>
          <w:b/>
          <w:bCs/>
          <w:sz w:val="28"/>
          <w:szCs w:val="28"/>
        </w:rPr>
        <w:t>–</w:t>
      </w:r>
      <w:r>
        <w:rPr>
          <w:b/>
          <w:bCs/>
          <w:sz w:val="28"/>
          <w:szCs w:val="28"/>
        </w:rPr>
        <w:t xml:space="preserve"> Skoleudviklingssamtaler</w:t>
      </w:r>
    </w:p>
    <w:p w14:paraId="7CC1C0EE" w14:textId="3AB23A04" w:rsidR="00204781" w:rsidRPr="00B5670E" w:rsidRDefault="00204781">
      <w:pPr>
        <w:rPr>
          <w:b/>
          <w:bCs/>
          <w:sz w:val="28"/>
          <w:szCs w:val="28"/>
        </w:rPr>
      </w:pPr>
    </w:p>
    <w:tbl>
      <w:tblPr>
        <w:tblStyle w:val="Tabel-Gitter"/>
        <w:tblW w:w="0" w:type="auto"/>
        <w:tblLook w:val="04A0" w:firstRow="1" w:lastRow="0" w:firstColumn="1" w:lastColumn="0" w:noHBand="0" w:noVBand="1"/>
      </w:tblPr>
      <w:tblGrid>
        <w:gridCol w:w="4815"/>
        <w:gridCol w:w="4813"/>
      </w:tblGrid>
      <w:tr w:rsidR="00B5670E" w14:paraId="74020AFA" w14:textId="77777777" w:rsidTr="008831A6">
        <w:tc>
          <w:tcPr>
            <w:tcW w:w="4815" w:type="dxa"/>
            <w:shd w:val="clear" w:color="auto" w:fill="C5E0B3" w:themeFill="accent6" w:themeFillTint="66"/>
          </w:tcPr>
          <w:p w14:paraId="20894E99" w14:textId="2595B978" w:rsidR="00B5670E" w:rsidRPr="008831A6" w:rsidRDefault="00B5670E" w:rsidP="00E52660">
            <w:pPr>
              <w:rPr>
                <w:b/>
                <w:bCs/>
                <w:sz w:val="28"/>
                <w:szCs w:val="28"/>
              </w:rPr>
            </w:pPr>
            <w:r w:rsidRPr="008831A6">
              <w:rPr>
                <w:b/>
                <w:bCs/>
                <w:sz w:val="28"/>
                <w:szCs w:val="28"/>
              </w:rPr>
              <w:t xml:space="preserve">Skolens navn: </w:t>
            </w:r>
            <w:r w:rsidR="00B86698">
              <w:rPr>
                <w:b/>
                <w:bCs/>
                <w:sz w:val="28"/>
                <w:szCs w:val="28"/>
              </w:rPr>
              <w:t>Rantzausminde Skole</w:t>
            </w:r>
          </w:p>
          <w:p w14:paraId="7A722294" w14:textId="49D5E9A9" w:rsidR="00B5670E" w:rsidRPr="00B5670E" w:rsidRDefault="00B5670E" w:rsidP="00E52660">
            <w:pPr>
              <w:rPr>
                <w:b/>
                <w:bCs/>
              </w:rPr>
            </w:pPr>
          </w:p>
        </w:tc>
        <w:tc>
          <w:tcPr>
            <w:tcW w:w="4813" w:type="dxa"/>
            <w:shd w:val="clear" w:color="auto" w:fill="C5E0B3" w:themeFill="accent6" w:themeFillTint="66"/>
          </w:tcPr>
          <w:p w14:paraId="0E6CC98B" w14:textId="5944BDF6" w:rsidR="00B5670E" w:rsidRDefault="008831A6" w:rsidP="00E52660">
            <w:pPr>
              <w:rPr>
                <w:b/>
                <w:bCs/>
                <w:sz w:val="28"/>
                <w:szCs w:val="28"/>
              </w:rPr>
            </w:pPr>
            <w:r w:rsidRPr="008831A6">
              <w:rPr>
                <w:b/>
                <w:bCs/>
                <w:sz w:val="28"/>
                <w:szCs w:val="28"/>
              </w:rPr>
              <w:t>Dato</w:t>
            </w:r>
            <w:r w:rsidR="00AB4817">
              <w:rPr>
                <w:b/>
                <w:bCs/>
                <w:sz w:val="28"/>
                <w:szCs w:val="28"/>
              </w:rPr>
              <w:t xml:space="preserve"> og år</w:t>
            </w:r>
            <w:r w:rsidRPr="008831A6">
              <w:rPr>
                <w:b/>
                <w:bCs/>
                <w:sz w:val="28"/>
                <w:szCs w:val="28"/>
              </w:rPr>
              <w:t>:</w:t>
            </w:r>
            <w:r w:rsidR="00B86698">
              <w:rPr>
                <w:b/>
                <w:bCs/>
                <w:sz w:val="28"/>
                <w:szCs w:val="28"/>
              </w:rPr>
              <w:t xml:space="preserve"> 1. marts 2023</w:t>
            </w:r>
          </w:p>
          <w:p w14:paraId="07A58593" w14:textId="67D917A3" w:rsidR="00B86698" w:rsidRDefault="00B86698" w:rsidP="00E52660"/>
        </w:tc>
      </w:tr>
      <w:tr w:rsidR="008831A6" w14:paraId="69DAAE1A" w14:textId="77777777" w:rsidTr="002D157D">
        <w:tc>
          <w:tcPr>
            <w:tcW w:w="9628" w:type="dxa"/>
            <w:gridSpan w:val="2"/>
          </w:tcPr>
          <w:p w14:paraId="488653DD" w14:textId="7CB99870" w:rsidR="008831A6" w:rsidRDefault="008831A6" w:rsidP="00E52660">
            <w:pPr>
              <w:rPr>
                <w:b/>
                <w:bCs/>
              </w:rPr>
            </w:pPr>
          </w:p>
          <w:p w14:paraId="338A8A6E" w14:textId="0A5C0049" w:rsidR="008831A6" w:rsidRDefault="008831A6" w:rsidP="00E52660">
            <w:pPr>
              <w:rPr>
                <w:b/>
                <w:bCs/>
              </w:rPr>
            </w:pPr>
            <w:r>
              <w:rPr>
                <w:b/>
                <w:bCs/>
              </w:rPr>
              <w:t xml:space="preserve">De næste år </w:t>
            </w:r>
            <w:r w:rsidR="003B2568">
              <w:rPr>
                <w:b/>
                <w:bCs/>
              </w:rPr>
              <w:t xml:space="preserve">har </w:t>
            </w:r>
            <w:r w:rsidR="00B86698">
              <w:rPr>
                <w:b/>
                <w:bCs/>
              </w:rPr>
              <w:t>Rantzausminde Skole</w:t>
            </w:r>
            <w:r w:rsidR="003B2568">
              <w:rPr>
                <w:b/>
                <w:bCs/>
              </w:rPr>
              <w:t xml:space="preserve"> </w:t>
            </w:r>
            <w:r>
              <w:rPr>
                <w:b/>
                <w:bCs/>
              </w:rPr>
              <w:t xml:space="preserve">fokus på følgende </w:t>
            </w:r>
            <w:r w:rsidR="00365669">
              <w:rPr>
                <w:b/>
                <w:bCs/>
              </w:rPr>
              <w:t>udviklingsområder</w:t>
            </w:r>
            <w:r>
              <w:rPr>
                <w:b/>
                <w:bCs/>
              </w:rPr>
              <w:t xml:space="preserve">: </w:t>
            </w:r>
          </w:p>
          <w:p w14:paraId="03DAB381" w14:textId="220D0448" w:rsidR="008831A6" w:rsidRDefault="008831A6" w:rsidP="00E52660"/>
          <w:p w14:paraId="10262EEF" w14:textId="4B2F8327" w:rsidR="008831A6" w:rsidRDefault="00B86698" w:rsidP="008831A6">
            <w:pPr>
              <w:pStyle w:val="Listeafsnit"/>
              <w:numPr>
                <w:ilvl w:val="0"/>
                <w:numId w:val="1"/>
              </w:numPr>
            </w:pPr>
            <w:r>
              <w:t>Kulturarbejde</w:t>
            </w:r>
          </w:p>
          <w:p w14:paraId="502BB7C4" w14:textId="6FA25711" w:rsidR="008831A6" w:rsidRDefault="00B86698" w:rsidP="008831A6">
            <w:pPr>
              <w:pStyle w:val="Listeafsnit"/>
              <w:numPr>
                <w:ilvl w:val="0"/>
                <w:numId w:val="1"/>
              </w:numPr>
            </w:pPr>
            <w:r>
              <w:t>Praksisfaglighed i overbygningen.</w:t>
            </w:r>
          </w:p>
          <w:p w14:paraId="44C3D645" w14:textId="2A021DA9" w:rsidR="008831A6" w:rsidRDefault="00B86698" w:rsidP="008831A6">
            <w:pPr>
              <w:pStyle w:val="Listeafsnit"/>
              <w:numPr>
                <w:ilvl w:val="0"/>
                <w:numId w:val="1"/>
              </w:numPr>
            </w:pPr>
            <w:r>
              <w:t>Triviel med fokus på ” Støtte og inspiration”</w:t>
            </w:r>
          </w:p>
          <w:p w14:paraId="19B5ADD6" w14:textId="55D76ED5" w:rsidR="008831A6" w:rsidRDefault="008831A6" w:rsidP="008831A6">
            <w:pPr>
              <w:pStyle w:val="Listeafsnit"/>
            </w:pPr>
          </w:p>
        </w:tc>
      </w:tr>
      <w:tr w:rsidR="008831A6" w14:paraId="76687DAD" w14:textId="77777777" w:rsidTr="008831A6">
        <w:tc>
          <w:tcPr>
            <w:tcW w:w="9628" w:type="dxa"/>
            <w:gridSpan w:val="2"/>
            <w:shd w:val="clear" w:color="auto" w:fill="C5E0B3" w:themeFill="accent6" w:themeFillTint="66"/>
          </w:tcPr>
          <w:p w14:paraId="4F61CFAA" w14:textId="664DB18A" w:rsidR="008831A6" w:rsidRDefault="008831A6" w:rsidP="00E52660">
            <w:r>
              <w:rPr>
                <w:b/>
                <w:bCs/>
              </w:rPr>
              <w:t>Tematik 1</w:t>
            </w:r>
          </w:p>
        </w:tc>
      </w:tr>
      <w:tr w:rsidR="00B5670E" w14:paraId="6303FC54" w14:textId="77777777" w:rsidTr="008831A6">
        <w:tc>
          <w:tcPr>
            <w:tcW w:w="4815" w:type="dxa"/>
          </w:tcPr>
          <w:p w14:paraId="0FEE68F0" w14:textId="77777777" w:rsidR="00B5670E" w:rsidRDefault="008831A6" w:rsidP="00E52660">
            <w:pPr>
              <w:rPr>
                <w:b/>
                <w:bCs/>
              </w:rPr>
            </w:pPr>
            <w:r>
              <w:rPr>
                <w:b/>
                <w:bCs/>
              </w:rPr>
              <w:t xml:space="preserve">Baggrund for </w:t>
            </w:r>
            <w:r w:rsidR="00365669">
              <w:rPr>
                <w:b/>
                <w:bCs/>
              </w:rPr>
              <w:t>udviklingsområder</w:t>
            </w:r>
            <w:r>
              <w:rPr>
                <w:b/>
                <w:bCs/>
              </w:rPr>
              <w:t xml:space="preserve">: </w:t>
            </w:r>
            <w:r w:rsidR="00B86698">
              <w:rPr>
                <w:b/>
                <w:bCs/>
              </w:rPr>
              <w:t xml:space="preserve">Vi har gennem de sidste år fået en del nye medarbejdere, og vi oplever ændringer i skolens opgave. </w:t>
            </w:r>
          </w:p>
          <w:p w14:paraId="483C6806" w14:textId="624AA223" w:rsidR="00B86698" w:rsidRDefault="00B86698" w:rsidP="00B86698">
            <w:pPr>
              <w:rPr>
                <w:rFonts w:eastAsia="Times New Roman" w:cstheme="minorHAnsi"/>
                <w:lang w:eastAsia="da-DK"/>
              </w:rPr>
            </w:pPr>
            <w:r>
              <w:rPr>
                <w:rFonts w:eastAsia="Times New Roman" w:cstheme="minorHAnsi"/>
                <w:lang w:eastAsia="da-DK"/>
              </w:rPr>
              <w:t>Kulturarbejdet skal bidrage til:</w:t>
            </w:r>
          </w:p>
          <w:p w14:paraId="506F87CB" w14:textId="77777777" w:rsidR="00B86698" w:rsidRDefault="00B86698" w:rsidP="00B86698">
            <w:pPr>
              <w:rPr>
                <w:rFonts w:eastAsia="Times New Roman" w:cstheme="minorHAnsi"/>
                <w:lang w:eastAsia="da-DK"/>
              </w:rPr>
            </w:pPr>
          </w:p>
          <w:p w14:paraId="61B959E0" w14:textId="77777777" w:rsidR="00B86698" w:rsidRPr="00F03CC2" w:rsidRDefault="00B86698" w:rsidP="00B86698">
            <w:pPr>
              <w:pStyle w:val="Listeafsnit"/>
              <w:numPr>
                <w:ilvl w:val="0"/>
                <w:numId w:val="2"/>
              </w:numPr>
              <w:rPr>
                <w:rFonts w:eastAsia="Times New Roman" w:cstheme="minorHAnsi"/>
                <w:lang w:eastAsia="da-DK"/>
              </w:rPr>
            </w:pPr>
            <w:r w:rsidRPr="00F03CC2">
              <w:rPr>
                <w:rFonts w:eastAsia="Times New Roman" w:cstheme="minorHAnsi"/>
                <w:lang w:eastAsia="da-DK"/>
              </w:rPr>
              <w:t>at vi kontinuerligt fastholder et skarpt blik på</w:t>
            </w:r>
            <w:r>
              <w:rPr>
                <w:rFonts w:eastAsia="Times New Roman" w:cstheme="minorHAnsi"/>
                <w:lang w:eastAsia="da-DK"/>
              </w:rPr>
              <w:t>,</w:t>
            </w:r>
            <w:r w:rsidRPr="00F03CC2">
              <w:rPr>
                <w:rFonts w:eastAsia="Times New Roman" w:cstheme="minorHAnsi"/>
                <w:lang w:eastAsia="da-DK"/>
              </w:rPr>
              <w:t xml:space="preserve"> hvad opgaven er.</w:t>
            </w:r>
          </w:p>
          <w:p w14:paraId="1EB9CC21" w14:textId="77777777" w:rsidR="00B86698" w:rsidRPr="00F03CC2" w:rsidRDefault="00B86698" w:rsidP="00B86698">
            <w:pPr>
              <w:pStyle w:val="Listeafsnit"/>
              <w:numPr>
                <w:ilvl w:val="0"/>
                <w:numId w:val="2"/>
              </w:numPr>
              <w:rPr>
                <w:rFonts w:eastAsia="Times New Roman" w:cstheme="minorHAnsi"/>
                <w:lang w:eastAsia="da-DK"/>
              </w:rPr>
            </w:pPr>
            <w:r w:rsidRPr="00F03CC2">
              <w:rPr>
                <w:rFonts w:eastAsia="Times New Roman" w:cstheme="minorHAnsi"/>
                <w:lang w:eastAsia="da-DK"/>
              </w:rPr>
              <w:t>sikre</w:t>
            </w:r>
            <w:r>
              <w:rPr>
                <w:rFonts w:eastAsia="Times New Roman" w:cstheme="minorHAnsi"/>
                <w:lang w:eastAsia="da-DK"/>
              </w:rPr>
              <w:t>r</w:t>
            </w:r>
            <w:r w:rsidRPr="00F03CC2">
              <w:rPr>
                <w:rFonts w:eastAsia="Times New Roman" w:cstheme="minorHAnsi"/>
                <w:lang w:eastAsia="da-DK"/>
              </w:rPr>
              <w:t xml:space="preserve"> et ansvarligt og respektfuldt samarbejde mellem skole og hjem</w:t>
            </w:r>
          </w:p>
          <w:p w14:paraId="58D8DB17" w14:textId="77777777" w:rsidR="00B86698" w:rsidRDefault="00B86698" w:rsidP="00B86698">
            <w:pPr>
              <w:pStyle w:val="Listeafsnit"/>
              <w:numPr>
                <w:ilvl w:val="0"/>
                <w:numId w:val="2"/>
              </w:numPr>
              <w:rPr>
                <w:rFonts w:eastAsia="Times New Roman" w:cstheme="minorHAnsi"/>
                <w:lang w:eastAsia="da-DK"/>
              </w:rPr>
            </w:pPr>
            <w:r w:rsidRPr="00F03CC2">
              <w:rPr>
                <w:rFonts w:eastAsia="Times New Roman" w:cstheme="minorHAnsi"/>
                <w:lang w:eastAsia="da-DK"/>
              </w:rPr>
              <w:t xml:space="preserve">at få ” holdet” - de fagprofessionelle </w:t>
            </w:r>
            <w:r>
              <w:rPr>
                <w:rFonts w:eastAsia="Times New Roman" w:cstheme="minorHAnsi"/>
                <w:lang w:eastAsia="da-DK"/>
              </w:rPr>
              <w:t xml:space="preserve">- </w:t>
            </w:r>
            <w:r w:rsidRPr="00F03CC2">
              <w:rPr>
                <w:rFonts w:eastAsia="Times New Roman" w:cstheme="minorHAnsi"/>
                <w:lang w:eastAsia="da-DK"/>
              </w:rPr>
              <w:t>til at spille og præstere bedst muligt sammen</w:t>
            </w:r>
          </w:p>
          <w:p w14:paraId="1259D7AD" w14:textId="77777777" w:rsidR="00B86698" w:rsidRPr="00B86698" w:rsidRDefault="00B86698" w:rsidP="00B86698">
            <w:pPr>
              <w:pStyle w:val="Listeafsnit"/>
              <w:numPr>
                <w:ilvl w:val="0"/>
                <w:numId w:val="2"/>
              </w:numPr>
              <w:rPr>
                <w:rFonts w:eastAsia="Times New Roman" w:cstheme="minorHAnsi"/>
                <w:lang w:eastAsia="da-DK"/>
              </w:rPr>
            </w:pPr>
            <w:r w:rsidRPr="00B86698">
              <w:rPr>
                <w:rFonts w:eastAsia="Times New Roman" w:cstheme="minorHAnsi"/>
                <w:lang w:eastAsia="da-DK"/>
              </w:rPr>
              <w:t>at skærpe vores kommunikation i forhold til, hvad vi står for som skole</w:t>
            </w:r>
          </w:p>
          <w:p w14:paraId="21AA5CA5" w14:textId="18159B2A" w:rsidR="00B86698" w:rsidRPr="00B5670E" w:rsidRDefault="00B86698" w:rsidP="00E52660">
            <w:pPr>
              <w:rPr>
                <w:b/>
                <w:bCs/>
              </w:rPr>
            </w:pPr>
          </w:p>
        </w:tc>
        <w:tc>
          <w:tcPr>
            <w:tcW w:w="4813" w:type="dxa"/>
          </w:tcPr>
          <w:p w14:paraId="05F8B2CE" w14:textId="2A2F1797" w:rsidR="00B5670E" w:rsidRPr="008831A6" w:rsidRDefault="00204781" w:rsidP="00E52660">
            <w:pPr>
              <w:rPr>
                <w:b/>
                <w:bCs/>
              </w:rPr>
            </w:pPr>
            <w:r>
              <w:rPr>
                <w:b/>
                <w:bCs/>
              </w:rPr>
              <w:t>Beskrivelse af i</w:t>
            </w:r>
            <w:r w:rsidR="008831A6" w:rsidRPr="008831A6">
              <w:rPr>
                <w:b/>
                <w:bCs/>
              </w:rPr>
              <w:t xml:space="preserve">ndsatser/tiltag: </w:t>
            </w:r>
          </w:p>
          <w:p w14:paraId="38018AB6" w14:textId="602F6CB9" w:rsidR="00B86698" w:rsidRDefault="00B86698" w:rsidP="00B86698">
            <w:pPr>
              <w:rPr>
                <w:rFonts w:eastAsia="Times New Roman" w:cstheme="minorHAnsi"/>
                <w:lang w:eastAsia="da-DK"/>
              </w:rPr>
            </w:pPr>
            <w:r>
              <w:rPr>
                <w:rFonts w:eastAsia="Times New Roman" w:cstheme="minorHAnsi"/>
                <w:lang w:eastAsia="da-DK"/>
              </w:rPr>
              <w:t xml:space="preserve">Vi har derfor valgt </w:t>
            </w:r>
            <w:proofErr w:type="spellStart"/>
            <w:r>
              <w:rPr>
                <w:rFonts w:eastAsia="Times New Roman" w:cstheme="minorHAnsi"/>
                <w:lang w:eastAsia="da-DK"/>
              </w:rPr>
              <w:t>storytelling</w:t>
            </w:r>
            <w:proofErr w:type="spellEnd"/>
            <w:r>
              <w:rPr>
                <w:rFonts w:eastAsia="Times New Roman" w:cstheme="minorHAnsi"/>
                <w:lang w:eastAsia="da-DK"/>
              </w:rPr>
              <w:t xml:space="preserve">, som den metode vi kommer til at anvende, som et væsentligt element i kommunikationen af outputtet af kulturarbejdet. Den store fortælling om skolen kommer til at bestå af en række </w:t>
            </w:r>
            <w:proofErr w:type="gramStart"/>
            <w:r>
              <w:rPr>
                <w:rFonts w:eastAsia="Times New Roman" w:cstheme="minorHAnsi"/>
                <w:lang w:eastAsia="da-DK"/>
              </w:rPr>
              <w:t>af</w:t>
            </w:r>
            <w:r w:rsidR="00B2048A">
              <w:rPr>
                <w:rFonts w:eastAsia="Times New Roman" w:cstheme="minorHAnsi"/>
                <w:lang w:eastAsia="da-DK"/>
              </w:rPr>
              <w:t xml:space="preserve"> </w:t>
            </w:r>
            <w:r>
              <w:rPr>
                <w:rFonts w:eastAsia="Times New Roman" w:cstheme="minorHAnsi"/>
                <w:lang w:eastAsia="da-DK"/>
              </w:rPr>
              <w:t xml:space="preserve"> ”</w:t>
            </w:r>
            <w:proofErr w:type="gramEnd"/>
            <w:r>
              <w:rPr>
                <w:rFonts w:eastAsia="Times New Roman" w:cstheme="minorHAnsi"/>
                <w:lang w:eastAsia="da-DK"/>
              </w:rPr>
              <w:t xml:space="preserve">Dominerende narrativer som grundfortælling”, om en række væsentlige </w:t>
            </w:r>
            <w:proofErr w:type="spellStart"/>
            <w:r>
              <w:rPr>
                <w:rFonts w:eastAsia="Times New Roman" w:cstheme="minorHAnsi"/>
                <w:lang w:eastAsia="da-DK"/>
              </w:rPr>
              <w:t>foki</w:t>
            </w:r>
            <w:proofErr w:type="spellEnd"/>
            <w:r>
              <w:rPr>
                <w:rFonts w:eastAsia="Times New Roman" w:cstheme="minorHAnsi"/>
                <w:lang w:eastAsia="da-DK"/>
              </w:rPr>
              <w:t xml:space="preserve"> f.eks. at være elev, at være medarbejder, at være forældre, at være i praksisfællesskab, at være ambitiøs på elevernes vegne mm. Fortællingerne skal formuleres så skarpt, at de får betydning for, hvad der sker i klasserummet – det skal være tydeligt at vi kobler narrativer med udlevet adfærd.</w:t>
            </w:r>
          </w:p>
          <w:p w14:paraId="7A56F929" w14:textId="7B29AB25" w:rsidR="008831A6" w:rsidRDefault="00B86698" w:rsidP="00E52660">
            <w:r>
              <w:t>Alle skolens interessenter -elever, forældre, personaler, bestyrelse og ledelse bliver involveret i processen.</w:t>
            </w:r>
          </w:p>
          <w:p w14:paraId="50AAA4F8" w14:textId="77777777" w:rsidR="008831A6" w:rsidRDefault="008831A6" w:rsidP="00E52660"/>
          <w:p w14:paraId="1FB0F717" w14:textId="75A18650" w:rsidR="008831A6" w:rsidRDefault="008831A6" w:rsidP="00E52660"/>
        </w:tc>
      </w:tr>
      <w:tr w:rsidR="008831A6" w14:paraId="52DD022D" w14:textId="77777777" w:rsidTr="008831A6">
        <w:tc>
          <w:tcPr>
            <w:tcW w:w="9628" w:type="dxa"/>
            <w:gridSpan w:val="2"/>
            <w:shd w:val="clear" w:color="auto" w:fill="C5E0B3" w:themeFill="accent6" w:themeFillTint="66"/>
          </w:tcPr>
          <w:p w14:paraId="6FBA22FC" w14:textId="2FD59BF2" w:rsidR="008831A6" w:rsidRDefault="008831A6" w:rsidP="00E52660">
            <w:r>
              <w:rPr>
                <w:b/>
                <w:bCs/>
              </w:rPr>
              <w:t>Tematik 2</w:t>
            </w:r>
          </w:p>
        </w:tc>
      </w:tr>
      <w:tr w:rsidR="008831A6" w14:paraId="698FEF9F" w14:textId="77777777" w:rsidTr="008831A6">
        <w:tc>
          <w:tcPr>
            <w:tcW w:w="4815" w:type="dxa"/>
          </w:tcPr>
          <w:p w14:paraId="03A95018" w14:textId="113AA714" w:rsidR="008831A6" w:rsidRPr="00B5670E" w:rsidRDefault="008831A6" w:rsidP="008831A6">
            <w:pPr>
              <w:rPr>
                <w:b/>
                <w:bCs/>
              </w:rPr>
            </w:pPr>
            <w:r>
              <w:rPr>
                <w:b/>
                <w:bCs/>
              </w:rPr>
              <w:t xml:space="preserve">Baggrund for </w:t>
            </w:r>
            <w:r w:rsidR="00365669">
              <w:rPr>
                <w:b/>
                <w:bCs/>
              </w:rPr>
              <w:t>udviklingsområder</w:t>
            </w:r>
            <w:r>
              <w:rPr>
                <w:b/>
                <w:bCs/>
              </w:rPr>
              <w:t xml:space="preserve">: </w:t>
            </w:r>
            <w:r w:rsidR="00B86698">
              <w:rPr>
                <w:b/>
                <w:bCs/>
              </w:rPr>
              <w:t>Vi har en ambition om at øge motivationen hos skolens elever ved at udvikle undervisningen til at blive mere virkelighedsnær og praksisnær. Data fra trivselsmålinger indikerer, at vi her har et udviklingspotentiale.</w:t>
            </w:r>
          </w:p>
        </w:tc>
        <w:tc>
          <w:tcPr>
            <w:tcW w:w="4813" w:type="dxa"/>
          </w:tcPr>
          <w:p w14:paraId="75F3773E" w14:textId="3E0D432C" w:rsidR="008831A6" w:rsidRPr="008831A6" w:rsidRDefault="00204781" w:rsidP="008831A6">
            <w:pPr>
              <w:rPr>
                <w:b/>
                <w:bCs/>
              </w:rPr>
            </w:pPr>
            <w:r>
              <w:rPr>
                <w:b/>
                <w:bCs/>
              </w:rPr>
              <w:t>Beskrivelse af i</w:t>
            </w:r>
            <w:r w:rsidR="008831A6" w:rsidRPr="008831A6">
              <w:rPr>
                <w:b/>
                <w:bCs/>
              </w:rPr>
              <w:t xml:space="preserve">ndsatser/tiltag: </w:t>
            </w:r>
          </w:p>
          <w:p w14:paraId="18327CD0" w14:textId="166ADA97" w:rsidR="008831A6" w:rsidRDefault="00B86698" w:rsidP="008831A6">
            <w:r>
              <w:t xml:space="preserve">Deltage i projekt </w:t>
            </w:r>
            <w:proofErr w:type="spellStart"/>
            <w:r>
              <w:t>PRiU</w:t>
            </w:r>
            <w:proofErr w:type="spellEnd"/>
            <w:r>
              <w:t xml:space="preserve"> støttet af A.P. Møller fonden og styret af EVA</w:t>
            </w:r>
            <w:r w:rsidR="00B2048A">
              <w:t xml:space="preserve"> </w:t>
            </w:r>
            <w:proofErr w:type="gramStart"/>
            <w:r>
              <w:t>( Lise</w:t>
            </w:r>
            <w:proofErr w:type="gramEnd"/>
            <w:r>
              <w:t xml:space="preserve"> Tinglev), hvor fokus er på praksisfaglighed i dansk og matematik.</w:t>
            </w:r>
          </w:p>
          <w:p w14:paraId="3F0AE4E6" w14:textId="338D347B" w:rsidR="00B86698" w:rsidRDefault="00B86698" w:rsidP="008831A6"/>
          <w:p w14:paraId="4B2312BF" w14:textId="7FC7294A" w:rsidR="00B86698" w:rsidRDefault="00B86698" w:rsidP="008831A6">
            <w:r>
              <w:t>Justere ” skolekoden” så skoledagen i højere grad kan tilpasses indholdet i undervisningen.</w:t>
            </w:r>
          </w:p>
          <w:p w14:paraId="63EAF1A1" w14:textId="4CE8C1FB" w:rsidR="008831A6" w:rsidRDefault="008831A6" w:rsidP="008831A6"/>
          <w:p w14:paraId="4744A4ED" w14:textId="77777777" w:rsidR="008831A6" w:rsidRDefault="008831A6" w:rsidP="008831A6"/>
          <w:p w14:paraId="2F77E01B" w14:textId="24FE9708" w:rsidR="008831A6" w:rsidRDefault="008831A6" w:rsidP="008831A6"/>
          <w:p w14:paraId="117250BC" w14:textId="77777777" w:rsidR="008831A6" w:rsidRDefault="008831A6" w:rsidP="008831A6"/>
        </w:tc>
      </w:tr>
      <w:tr w:rsidR="00204781" w14:paraId="3AE8FA10" w14:textId="77777777" w:rsidTr="00204781">
        <w:tc>
          <w:tcPr>
            <w:tcW w:w="9628" w:type="dxa"/>
            <w:gridSpan w:val="2"/>
            <w:shd w:val="clear" w:color="auto" w:fill="C5E0B3" w:themeFill="accent6" w:themeFillTint="66"/>
          </w:tcPr>
          <w:p w14:paraId="620A298D" w14:textId="284AAB0F" w:rsidR="00204781" w:rsidRPr="00204781" w:rsidRDefault="00204781" w:rsidP="008831A6">
            <w:pPr>
              <w:rPr>
                <w:b/>
                <w:bCs/>
              </w:rPr>
            </w:pPr>
            <w:r w:rsidRPr="00204781">
              <w:rPr>
                <w:b/>
                <w:bCs/>
              </w:rPr>
              <w:t>Tematik 3</w:t>
            </w:r>
          </w:p>
        </w:tc>
      </w:tr>
      <w:tr w:rsidR="00204781" w14:paraId="64F665D9" w14:textId="77777777" w:rsidTr="008831A6">
        <w:tc>
          <w:tcPr>
            <w:tcW w:w="4815" w:type="dxa"/>
          </w:tcPr>
          <w:p w14:paraId="6522E465" w14:textId="35D38292" w:rsidR="00204781" w:rsidRPr="00B5670E" w:rsidRDefault="00204781" w:rsidP="00204781">
            <w:pPr>
              <w:rPr>
                <w:b/>
                <w:bCs/>
              </w:rPr>
            </w:pPr>
            <w:r>
              <w:rPr>
                <w:b/>
                <w:bCs/>
              </w:rPr>
              <w:lastRenderedPageBreak/>
              <w:t xml:space="preserve">Baggrund for </w:t>
            </w:r>
            <w:r w:rsidR="00365669">
              <w:rPr>
                <w:b/>
                <w:bCs/>
              </w:rPr>
              <w:t>udviklingsområder</w:t>
            </w:r>
            <w:r>
              <w:rPr>
                <w:b/>
                <w:bCs/>
              </w:rPr>
              <w:t xml:space="preserve">: </w:t>
            </w:r>
            <w:r w:rsidR="00B86698">
              <w:rPr>
                <w:b/>
                <w:bCs/>
              </w:rPr>
              <w:t>Data fra trivselsmålinger hos vores ældste elever viser, at skolen scorer meget lavt i temaet ” Støtte og inspiration”. Det skal vi blive klogere på, og løfte.</w:t>
            </w:r>
          </w:p>
        </w:tc>
        <w:tc>
          <w:tcPr>
            <w:tcW w:w="4813" w:type="dxa"/>
          </w:tcPr>
          <w:p w14:paraId="660C2781" w14:textId="5D5F221B" w:rsidR="00204781" w:rsidRPr="008831A6" w:rsidRDefault="00204781" w:rsidP="00204781">
            <w:pPr>
              <w:rPr>
                <w:b/>
                <w:bCs/>
              </w:rPr>
            </w:pPr>
            <w:r>
              <w:rPr>
                <w:b/>
                <w:bCs/>
              </w:rPr>
              <w:t>Beskrivelse af i</w:t>
            </w:r>
            <w:r w:rsidRPr="008831A6">
              <w:rPr>
                <w:b/>
                <w:bCs/>
              </w:rPr>
              <w:t xml:space="preserve">ndsatser/tiltag: </w:t>
            </w:r>
          </w:p>
          <w:p w14:paraId="0E44E18D" w14:textId="589478AB" w:rsidR="00B86698" w:rsidRDefault="00B86698" w:rsidP="00B86698">
            <w:r>
              <w:t xml:space="preserve">Øget fokus på elevperspektivet bl.a. ved hjælp </w:t>
            </w:r>
            <w:bookmarkStart w:id="0" w:name="_GoBack"/>
            <w:bookmarkEnd w:id="0"/>
            <w:r w:rsidR="00B2048A">
              <w:t>af løbende</w:t>
            </w:r>
            <w:r>
              <w:t xml:space="preserve"> trivselsmålinger med særligt fokus på ” Støtte og inspiration””</w:t>
            </w:r>
          </w:p>
          <w:p w14:paraId="60BE9C6D" w14:textId="307021B5" w:rsidR="00B86698" w:rsidRDefault="00B86698" w:rsidP="00B86698">
            <w:r>
              <w:t>Udvikling af den pædagogiske praksis med Vurdering for læring og karakterdannelse.</w:t>
            </w:r>
          </w:p>
          <w:p w14:paraId="06A0E178" w14:textId="77777777" w:rsidR="00204781" w:rsidRDefault="00204781" w:rsidP="00204781"/>
        </w:tc>
      </w:tr>
    </w:tbl>
    <w:p w14:paraId="58561BB7" w14:textId="272DC364" w:rsidR="00B5670E" w:rsidRDefault="00B5670E"/>
    <w:sectPr w:rsidR="00B567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555DA"/>
    <w:multiLevelType w:val="hybridMultilevel"/>
    <w:tmpl w:val="8C68E660"/>
    <w:lvl w:ilvl="0" w:tplc="7A2686F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5AA6CB2"/>
    <w:multiLevelType w:val="hybridMultilevel"/>
    <w:tmpl w:val="D3E20028"/>
    <w:lvl w:ilvl="0" w:tplc="0406000F">
      <w:start w:val="1"/>
      <w:numFmt w:val="decimal"/>
      <w:lvlText w:val="%1."/>
      <w:lvlJc w:val="left"/>
      <w:pPr>
        <w:ind w:left="768" w:hanging="360"/>
      </w:pPr>
    </w:lvl>
    <w:lvl w:ilvl="1" w:tplc="04060019" w:tentative="1">
      <w:start w:val="1"/>
      <w:numFmt w:val="lowerLetter"/>
      <w:lvlText w:val="%2."/>
      <w:lvlJc w:val="left"/>
      <w:pPr>
        <w:ind w:left="1488" w:hanging="360"/>
      </w:pPr>
    </w:lvl>
    <w:lvl w:ilvl="2" w:tplc="0406001B" w:tentative="1">
      <w:start w:val="1"/>
      <w:numFmt w:val="lowerRoman"/>
      <w:lvlText w:val="%3."/>
      <w:lvlJc w:val="right"/>
      <w:pPr>
        <w:ind w:left="2208" w:hanging="180"/>
      </w:pPr>
    </w:lvl>
    <w:lvl w:ilvl="3" w:tplc="0406000F" w:tentative="1">
      <w:start w:val="1"/>
      <w:numFmt w:val="decimal"/>
      <w:lvlText w:val="%4."/>
      <w:lvlJc w:val="left"/>
      <w:pPr>
        <w:ind w:left="2928" w:hanging="360"/>
      </w:pPr>
    </w:lvl>
    <w:lvl w:ilvl="4" w:tplc="04060019" w:tentative="1">
      <w:start w:val="1"/>
      <w:numFmt w:val="lowerLetter"/>
      <w:lvlText w:val="%5."/>
      <w:lvlJc w:val="left"/>
      <w:pPr>
        <w:ind w:left="3648" w:hanging="360"/>
      </w:pPr>
    </w:lvl>
    <w:lvl w:ilvl="5" w:tplc="0406001B" w:tentative="1">
      <w:start w:val="1"/>
      <w:numFmt w:val="lowerRoman"/>
      <w:lvlText w:val="%6."/>
      <w:lvlJc w:val="right"/>
      <w:pPr>
        <w:ind w:left="4368" w:hanging="180"/>
      </w:pPr>
    </w:lvl>
    <w:lvl w:ilvl="6" w:tplc="0406000F" w:tentative="1">
      <w:start w:val="1"/>
      <w:numFmt w:val="decimal"/>
      <w:lvlText w:val="%7."/>
      <w:lvlJc w:val="left"/>
      <w:pPr>
        <w:ind w:left="5088" w:hanging="360"/>
      </w:pPr>
    </w:lvl>
    <w:lvl w:ilvl="7" w:tplc="04060019" w:tentative="1">
      <w:start w:val="1"/>
      <w:numFmt w:val="lowerLetter"/>
      <w:lvlText w:val="%8."/>
      <w:lvlJc w:val="left"/>
      <w:pPr>
        <w:ind w:left="5808" w:hanging="360"/>
      </w:pPr>
    </w:lvl>
    <w:lvl w:ilvl="8" w:tplc="0406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79"/>
    <w:rsid w:val="00066CF2"/>
    <w:rsid w:val="00161550"/>
    <w:rsid w:val="00204781"/>
    <w:rsid w:val="00227379"/>
    <w:rsid w:val="00365669"/>
    <w:rsid w:val="00394DE1"/>
    <w:rsid w:val="003B2568"/>
    <w:rsid w:val="008831A6"/>
    <w:rsid w:val="009608E5"/>
    <w:rsid w:val="00AB4817"/>
    <w:rsid w:val="00B2048A"/>
    <w:rsid w:val="00B5670E"/>
    <w:rsid w:val="00B86698"/>
    <w:rsid w:val="00D623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4767"/>
  <w15:chartTrackingRefBased/>
  <w15:docId w15:val="{20BE205C-D2E5-427C-BB60-54A8321D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6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8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Lena Fruelund Frandsen</dc:creator>
  <cp:keywords/>
  <dc:description/>
  <cp:lastModifiedBy>Marie Nysted</cp:lastModifiedBy>
  <cp:revision>2</cp:revision>
  <dcterms:created xsi:type="dcterms:W3CDTF">2023-02-28T07:55:00Z</dcterms:created>
  <dcterms:modified xsi:type="dcterms:W3CDTF">2023-02-28T07:55:00Z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{3876B62F-562E-4D71-95F4-E1D5C6A27131}</vt:lpwstr>
  </property>
</Properties>
</file>